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4 inch X 6 inch (41mm X 102mm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4 inch (41mm X 102mm)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4 inch (41mm X 102mm)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3t3ponpc80fz"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1-⅝”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